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D333C2F" w14:textId="45C9CEC5" w:rsidR="001316D0" w:rsidRDefault="00B46EE7" w:rsidP="00B46EE7">
      <w:pPr>
        <w:pStyle w:val="Heading1"/>
      </w:pPr>
      <w:r>
        <w:t>Hermes email service closure</w:t>
      </w:r>
    </w:p>
    <w:p w14:paraId="41DC899E" w14:textId="6799AFB1" w:rsidR="00B46EE7" w:rsidRDefault="00B46EE7" w:rsidP="00B46EE7">
      <w:r>
        <w:t>As you may have heard University Information Services (UIS) are closing the Hermes email service</w:t>
      </w:r>
      <w:r w:rsidR="00A02B12">
        <w:t>. Hermes is being replaced</w:t>
      </w:r>
      <w:r>
        <w:t xml:space="preserve"> with an outsourced service called Exchange Online (</w:t>
      </w:r>
      <w:proofErr w:type="spellStart"/>
      <w:r>
        <w:t>ExOL</w:t>
      </w:r>
      <w:proofErr w:type="spellEnd"/>
      <w:r>
        <w:t>)</w:t>
      </w:r>
      <w:r w:rsidR="002F7403">
        <w:t xml:space="preserve"> due to the costs of supporting the mail system in house</w:t>
      </w:r>
      <w:r w:rsidR="00EC7254">
        <w:t xml:space="preserve"> (</w:t>
      </w:r>
      <w:r w:rsidR="0091078D">
        <w:t>approximately £35 per user</w:t>
      </w:r>
      <w:r w:rsidR="002F7403">
        <w:t>.</w:t>
      </w:r>
      <w:r w:rsidR="00EC7254">
        <w:t>)</w:t>
      </w:r>
      <w:r w:rsidR="002F7403">
        <w:t xml:space="preserve"> They claim that the level of support will not fall but experience so far indicates otherwise</w:t>
      </w:r>
      <w:r w:rsidR="00D835EC">
        <w:t xml:space="preserve">: </w:t>
      </w:r>
      <w:proofErr w:type="spellStart"/>
      <w:r w:rsidR="002F7403">
        <w:t>ExOL</w:t>
      </w:r>
      <w:proofErr w:type="spellEnd"/>
      <w:r w:rsidR="002F7403">
        <w:t xml:space="preserve"> accounts take much longer than Hermes accounts to open, and user support is being pushed from UIS onto departmental staff.</w:t>
      </w:r>
      <w:r w:rsidR="00D835EC">
        <w:t xml:space="preserve"> I provide this information to guide you in your decision on how to proceed. I will only be able to offer very limited support to Exchange Online as it is outsourced, and the contract is with UIS.</w:t>
      </w:r>
    </w:p>
    <w:p w14:paraId="482E961D" w14:textId="244B174E" w:rsidR="00700CDE" w:rsidRDefault="00700CDE" w:rsidP="00B46EE7">
      <w:r w:rsidRPr="00700CDE">
        <w:rPr>
          <w:b/>
          <w:bCs/>
        </w:rPr>
        <w:t xml:space="preserve">The </w:t>
      </w:r>
      <w:hyperlink r:id="rId4" w:history="1">
        <w:r w:rsidRPr="00700CDE">
          <w:rPr>
            <w:rStyle w:val="Hyperlink"/>
            <w:b/>
            <w:bCs/>
          </w:rPr>
          <w:t>user@hermes.cam.ac.uk</w:t>
        </w:r>
      </w:hyperlink>
      <w:r w:rsidRPr="00700CDE">
        <w:rPr>
          <w:b/>
          <w:bCs/>
        </w:rPr>
        <w:t xml:space="preserve"> address will be disabled, and if you forward mail from this address you should change the forwarding at</w:t>
      </w:r>
      <w:r>
        <w:t xml:space="preserve"> </w:t>
      </w:r>
      <w:hyperlink r:id="rId5" w:history="1">
        <w:r w:rsidRPr="00FD0AAD">
          <w:rPr>
            <w:rStyle w:val="Hyperlink"/>
          </w:rPr>
          <w:t>https://www.lookup.cam.ac.uk/self</w:t>
        </w:r>
      </w:hyperlink>
      <w:r>
        <w:t xml:space="preserve"> </w:t>
      </w:r>
    </w:p>
    <w:p w14:paraId="4F82F0F8" w14:textId="784278A2" w:rsidR="006A1B38" w:rsidRDefault="00700CDE" w:rsidP="00B46EE7">
      <w:r>
        <w:t xml:space="preserve">You do not have to migrate to </w:t>
      </w:r>
      <w:proofErr w:type="spellStart"/>
      <w:r>
        <w:t>ExOL</w:t>
      </w:r>
      <w:proofErr w:type="spellEnd"/>
      <w:r>
        <w:t>, d</w:t>
      </w:r>
      <w:r w:rsidR="00B46EE7">
        <w:t xml:space="preserve">epending on how you access your mail the costs and benefits of different options vary. The following matrix indicates my evaluation of </w:t>
      </w:r>
      <w:r w:rsidR="00CA292D">
        <w:t>a selection of</w:t>
      </w:r>
      <w:r w:rsidR="00B46EE7">
        <w:t xml:space="preserve"> </w:t>
      </w:r>
      <w:r w:rsidR="00546A58">
        <w:t>services</w:t>
      </w:r>
      <w:r w:rsidR="00B46EE7">
        <w:t xml:space="preserve"> </w:t>
      </w:r>
      <w:r w:rsidR="005955F2">
        <w:t xml:space="preserve">(left) </w:t>
      </w:r>
      <w:r w:rsidR="00B46EE7">
        <w:t>related to the way you currently access email</w:t>
      </w:r>
      <w:r w:rsidR="005955F2">
        <w:t xml:space="preserve"> (top</w:t>
      </w:r>
      <w:r w:rsidR="00B46EE7">
        <w:t>.</w:t>
      </w:r>
      <w:r w:rsidR="005955F2">
        <w:t>)</w:t>
      </w:r>
      <w:r w:rsidR="006A1B38">
        <w:t xml:space="preserve"> </w:t>
      </w:r>
      <w:r w:rsidR="00546A58">
        <w:t>Hermes is included for comparison only and f</w:t>
      </w:r>
      <w:r>
        <w:t>urther details are overleaf.</w:t>
      </w:r>
    </w:p>
    <w:tbl>
      <w:tblPr>
        <w:tblStyle w:val="PlainTable5"/>
        <w:tblW w:w="0" w:type="auto"/>
        <w:tblLook w:val="04A0" w:firstRow="1" w:lastRow="0" w:firstColumn="1" w:lastColumn="0" w:noHBand="0" w:noVBand="1"/>
      </w:tblPr>
      <w:tblGrid>
        <w:gridCol w:w="1502"/>
        <w:gridCol w:w="1502"/>
        <w:gridCol w:w="1511"/>
        <w:gridCol w:w="1503"/>
        <w:gridCol w:w="1503"/>
        <w:gridCol w:w="1503"/>
      </w:tblGrid>
      <w:tr w:rsidR="00B46EE7" w14:paraId="35182B16" w14:textId="77777777" w:rsidTr="002F7403">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502" w:type="dxa"/>
          </w:tcPr>
          <w:p w14:paraId="2D491D6D" w14:textId="77777777" w:rsidR="00B46EE7" w:rsidRDefault="00B46EE7" w:rsidP="00B46EE7"/>
        </w:tc>
        <w:tc>
          <w:tcPr>
            <w:tcW w:w="1502" w:type="dxa"/>
          </w:tcPr>
          <w:p w14:paraId="68FAA002" w14:textId="76E71CDA" w:rsidR="00B46EE7" w:rsidRDefault="00B46EE7" w:rsidP="00546A58">
            <w:pPr>
              <w:jc w:val="center"/>
              <w:cnfStyle w:val="100000000000" w:firstRow="1" w:lastRow="0" w:firstColumn="0" w:lastColumn="0" w:oddVBand="0" w:evenVBand="0" w:oddHBand="0" w:evenHBand="0" w:firstRowFirstColumn="0" w:firstRowLastColumn="0" w:lastRowFirstColumn="0" w:lastRowLastColumn="0"/>
            </w:pPr>
            <w:r>
              <w:t>Webmail</w:t>
            </w:r>
          </w:p>
        </w:tc>
        <w:tc>
          <w:tcPr>
            <w:tcW w:w="1503" w:type="dxa"/>
          </w:tcPr>
          <w:p w14:paraId="71D95C84" w14:textId="7BE3D638" w:rsidR="00B46EE7" w:rsidRDefault="00B46EE7" w:rsidP="00546A58">
            <w:pPr>
              <w:jc w:val="center"/>
              <w:cnfStyle w:val="100000000000" w:firstRow="1" w:lastRow="0" w:firstColumn="0" w:lastColumn="0" w:oddVBand="0" w:evenVBand="0" w:oddHBand="0" w:evenHBand="0" w:firstRowFirstColumn="0" w:firstRowLastColumn="0" w:lastRowFirstColumn="0" w:lastRowLastColumn="0"/>
            </w:pPr>
            <w:r>
              <w:t>Thunderbird</w:t>
            </w:r>
          </w:p>
        </w:tc>
        <w:tc>
          <w:tcPr>
            <w:tcW w:w="1503" w:type="dxa"/>
          </w:tcPr>
          <w:p w14:paraId="3ABF3475" w14:textId="1E93D0B0" w:rsidR="00B46EE7" w:rsidRDefault="00B46EE7" w:rsidP="00546A58">
            <w:pPr>
              <w:jc w:val="center"/>
              <w:cnfStyle w:val="100000000000" w:firstRow="1" w:lastRow="0" w:firstColumn="0" w:lastColumn="0" w:oddVBand="0" w:evenVBand="0" w:oddHBand="0" w:evenHBand="0" w:firstRowFirstColumn="0" w:firstRowLastColumn="0" w:lastRowFirstColumn="0" w:lastRowLastColumn="0"/>
            </w:pPr>
            <w:r>
              <w:t>Outlook</w:t>
            </w:r>
          </w:p>
        </w:tc>
        <w:tc>
          <w:tcPr>
            <w:tcW w:w="1503" w:type="dxa"/>
          </w:tcPr>
          <w:p w14:paraId="544C33C3" w14:textId="57FC42F5" w:rsidR="00B46EE7" w:rsidRDefault="00B46EE7" w:rsidP="00546A58">
            <w:pPr>
              <w:jc w:val="center"/>
              <w:cnfStyle w:val="100000000000" w:firstRow="1" w:lastRow="0" w:firstColumn="0" w:lastColumn="0" w:oddVBand="0" w:evenVBand="0" w:oddHBand="0" w:evenHBand="0" w:firstRowFirstColumn="0" w:firstRowLastColumn="0" w:lastRowFirstColumn="0" w:lastRowLastColumn="0"/>
            </w:pPr>
            <w:r>
              <w:t>Apple Mail</w:t>
            </w:r>
          </w:p>
        </w:tc>
        <w:tc>
          <w:tcPr>
            <w:tcW w:w="1503" w:type="dxa"/>
          </w:tcPr>
          <w:p w14:paraId="0A6A8FB8" w14:textId="13344880" w:rsidR="00B46EE7" w:rsidRDefault="00B46EE7" w:rsidP="00546A58">
            <w:pPr>
              <w:jc w:val="center"/>
              <w:cnfStyle w:val="100000000000" w:firstRow="1" w:lastRow="0" w:firstColumn="0" w:lastColumn="0" w:oddVBand="0" w:evenVBand="0" w:oddHBand="0" w:evenHBand="0" w:firstRowFirstColumn="0" w:firstRowLastColumn="0" w:lastRowFirstColumn="0" w:lastRowLastColumn="0"/>
            </w:pPr>
            <w:r>
              <w:t>Other</w:t>
            </w:r>
          </w:p>
        </w:tc>
      </w:tr>
      <w:tr w:rsidR="00B46EE7" w14:paraId="3C2E6935" w14:textId="77777777" w:rsidTr="002F740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02" w:type="dxa"/>
          </w:tcPr>
          <w:p w14:paraId="7B39A908" w14:textId="00A62D79" w:rsidR="00B46EE7" w:rsidRDefault="00B46EE7" w:rsidP="00B46EE7">
            <w:proofErr w:type="spellStart"/>
            <w:r>
              <w:t>ExOL</w:t>
            </w:r>
            <w:proofErr w:type="spellEnd"/>
          </w:p>
        </w:tc>
        <w:tc>
          <w:tcPr>
            <w:tcW w:w="1502" w:type="dxa"/>
          </w:tcPr>
          <w:p w14:paraId="6E168107" w14:textId="2B87422E" w:rsidR="00B46EE7" w:rsidRPr="00700CDE" w:rsidRDefault="00700CDE" w:rsidP="00700CDE">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MS Shell Dlg 2" w:hAnsi="MS Shell Dlg 2" w:cs="MS Shell Dlg 2"/>
                <w:sz w:val="17"/>
                <w:szCs w:val="17"/>
              </w:rPr>
            </w:pPr>
            <w:r>
              <w:rPr>
                <w:rFonts w:ascii="Wingdings" w:hAnsi="Wingdings" w:cs="Wingdings"/>
                <w:sz w:val="26"/>
                <w:szCs w:val="26"/>
              </w:rPr>
              <w:t>¶¶¶¶</w:t>
            </w:r>
          </w:p>
        </w:tc>
        <w:tc>
          <w:tcPr>
            <w:tcW w:w="1503" w:type="dxa"/>
          </w:tcPr>
          <w:p w14:paraId="7060E3C0" w14:textId="6312276B" w:rsidR="00B46EE7" w:rsidRDefault="00700CDE" w:rsidP="00700CDE">
            <w:pPr>
              <w:jc w:val="center"/>
              <w:cnfStyle w:val="000000100000" w:firstRow="0" w:lastRow="0" w:firstColumn="0" w:lastColumn="0" w:oddVBand="0" w:evenVBand="0" w:oddHBand="1" w:evenHBand="0" w:firstRowFirstColumn="0" w:firstRowLastColumn="0" w:lastRowFirstColumn="0" w:lastRowLastColumn="0"/>
            </w:pPr>
            <w:r>
              <w:rPr>
                <w:rFonts w:ascii="Wingdings" w:hAnsi="Wingdings" w:cs="Wingdings"/>
                <w:sz w:val="26"/>
                <w:szCs w:val="26"/>
              </w:rPr>
              <w:t>¶¶</w:t>
            </w:r>
          </w:p>
        </w:tc>
        <w:tc>
          <w:tcPr>
            <w:tcW w:w="1503" w:type="dxa"/>
          </w:tcPr>
          <w:p w14:paraId="500E207B" w14:textId="48454461" w:rsidR="00B46EE7" w:rsidRDefault="00700CDE" w:rsidP="00700CDE">
            <w:pPr>
              <w:jc w:val="center"/>
              <w:cnfStyle w:val="000000100000" w:firstRow="0" w:lastRow="0" w:firstColumn="0" w:lastColumn="0" w:oddVBand="0" w:evenVBand="0" w:oddHBand="1" w:evenHBand="0" w:firstRowFirstColumn="0" w:firstRowLastColumn="0" w:lastRowFirstColumn="0" w:lastRowLastColumn="0"/>
            </w:pPr>
            <w:r>
              <w:rPr>
                <w:rFonts w:ascii="Wingdings" w:hAnsi="Wingdings" w:cs="Wingdings"/>
                <w:sz w:val="26"/>
                <w:szCs w:val="26"/>
              </w:rPr>
              <w:t>¶¶¶¶</w:t>
            </w:r>
          </w:p>
        </w:tc>
        <w:tc>
          <w:tcPr>
            <w:tcW w:w="1503" w:type="dxa"/>
          </w:tcPr>
          <w:p w14:paraId="4900DF88" w14:textId="43FB971F" w:rsidR="00B46EE7" w:rsidRDefault="00700CDE" w:rsidP="00700CDE">
            <w:pPr>
              <w:jc w:val="center"/>
              <w:cnfStyle w:val="000000100000" w:firstRow="0" w:lastRow="0" w:firstColumn="0" w:lastColumn="0" w:oddVBand="0" w:evenVBand="0" w:oddHBand="1" w:evenHBand="0" w:firstRowFirstColumn="0" w:firstRowLastColumn="0" w:lastRowFirstColumn="0" w:lastRowLastColumn="0"/>
            </w:pPr>
            <w:r>
              <w:rPr>
                <w:rFonts w:ascii="Wingdings" w:hAnsi="Wingdings" w:cs="Wingdings"/>
                <w:sz w:val="26"/>
                <w:szCs w:val="26"/>
              </w:rPr>
              <w:t>¶¶¶</w:t>
            </w:r>
          </w:p>
        </w:tc>
        <w:tc>
          <w:tcPr>
            <w:tcW w:w="1503" w:type="dxa"/>
          </w:tcPr>
          <w:p w14:paraId="418C3DDF" w14:textId="4FA0FC42" w:rsidR="00B46EE7" w:rsidRDefault="00700CDE" w:rsidP="00700CDE">
            <w:pPr>
              <w:jc w:val="center"/>
              <w:cnfStyle w:val="000000100000" w:firstRow="0" w:lastRow="0" w:firstColumn="0" w:lastColumn="0" w:oddVBand="0" w:evenVBand="0" w:oddHBand="1" w:evenHBand="0" w:firstRowFirstColumn="0" w:firstRowLastColumn="0" w:lastRowFirstColumn="0" w:lastRowLastColumn="0"/>
            </w:pPr>
            <w:r>
              <w:rPr>
                <w:rFonts w:ascii="Wingdings" w:hAnsi="Wingdings" w:cs="Wingdings"/>
                <w:sz w:val="26"/>
                <w:szCs w:val="26"/>
              </w:rPr>
              <w:t>¶</w:t>
            </w:r>
          </w:p>
        </w:tc>
      </w:tr>
      <w:tr w:rsidR="00B46EE7" w14:paraId="46D9950E" w14:textId="77777777" w:rsidTr="002F7403">
        <w:tc>
          <w:tcPr>
            <w:cnfStyle w:val="001000000000" w:firstRow="0" w:lastRow="0" w:firstColumn="1" w:lastColumn="0" w:oddVBand="0" w:evenVBand="0" w:oddHBand="0" w:evenHBand="0" w:firstRowFirstColumn="0" w:firstRowLastColumn="0" w:lastRowFirstColumn="0" w:lastRowLastColumn="0"/>
            <w:tcW w:w="1502" w:type="dxa"/>
          </w:tcPr>
          <w:p w14:paraId="5B86DDE2" w14:textId="774A11F7" w:rsidR="00B46EE7" w:rsidRDefault="00B46EE7" w:rsidP="00B46EE7">
            <w:r>
              <w:t>Gmail</w:t>
            </w:r>
          </w:p>
        </w:tc>
        <w:tc>
          <w:tcPr>
            <w:tcW w:w="1502" w:type="dxa"/>
          </w:tcPr>
          <w:p w14:paraId="5FFB19D1" w14:textId="578CDDED" w:rsidR="00B46EE7" w:rsidRDefault="00700CDE" w:rsidP="00700CDE">
            <w:pPr>
              <w:jc w:val="center"/>
              <w:cnfStyle w:val="000000000000" w:firstRow="0" w:lastRow="0" w:firstColumn="0" w:lastColumn="0" w:oddVBand="0" w:evenVBand="0" w:oddHBand="0" w:evenHBand="0" w:firstRowFirstColumn="0" w:firstRowLastColumn="0" w:lastRowFirstColumn="0" w:lastRowLastColumn="0"/>
            </w:pPr>
            <w:r>
              <w:rPr>
                <w:rFonts w:ascii="Wingdings" w:hAnsi="Wingdings" w:cs="Wingdings"/>
                <w:sz w:val="26"/>
                <w:szCs w:val="26"/>
              </w:rPr>
              <w:t>¶¶¶¶</w:t>
            </w:r>
          </w:p>
        </w:tc>
        <w:tc>
          <w:tcPr>
            <w:tcW w:w="1503" w:type="dxa"/>
          </w:tcPr>
          <w:p w14:paraId="3F1A4449" w14:textId="2DBAAC06" w:rsidR="00B46EE7" w:rsidRDefault="00700CDE" w:rsidP="00700CDE">
            <w:pPr>
              <w:jc w:val="center"/>
              <w:cnfStyle w:val="000000000000" w:firstRow="0" w:lastRow="0" w:firstColumn="0" w:lastColumn="0" w:oddVBand="0" w:evenVBand="0" w:oddHBand="0" w:evenHBand="0" w:firstRowFirstColumn="0" w:firstRowLastColumn="0" w:lastRowFirstColumn="0" w:lastRowLastColumn="0"/>
            </w:pPr>
            <w:r>
              <w:rPr>
                <w:rFonts w:ascii="Wingdings" w:hAnsi="Wingdings" w:cs="Wingdings"/>
                <w:sz w:val="26"/>
                <w:szCs w:val="26"/>
              </w:rPr>
              <w:t>¶¶¶¶</w:t>
            </w:r>
          </w:p>
        </w:tc>
        <w:tc>
          <w:tcPr>
            <w:tcW w:w="1503" w:type="dxa"/>
          </w:tcPr>
          <w:p w14:paraId="6DBA8ACB" w14:textId="4BF47A80" w:rsidR="00B46EE7" w:rsidRDefault="00700CDE" w:rsidP="00700CDE">
            <w:pPr>
              <w:jc w:val="center"/>
              <w:cnfStyle w:val="000000000000" w:firstRow="0" w:lastRow="0" w:firstColumn="0" w:lastColumn="0" w:oddVBand="0" w:evenVBand="0" w:oddHBand="0" w:evenHBand="0" w:firstRowFirstColumn="0" w:firstRowLastColumn="0" w:lastRowFirstColumn="0" w:lastRowLastColumn="0"/>
            </w:pPr>
            <w:r>
              <w:rPr>
                <w:rFonts w:ascii="Wingdings" w:hAnsi="Wingdings" w:cs="Wingdings"/>
                <w:sz w:val="26"/>
                <w:szCs w:val="26"/>
              </w:rPr>
              <w:t>¶¶¶</w:t>
            </w:r>
          </w:p>
        </w:tc>
        <w:tc>
          <w:tcPr>
            <w:tcW w:w="1503" w:type="dxa"/>
          </w:tcPr>
          <w:p w14:paraId="286B8BA1" w14:textId="6569A2D5" w:rsidR="00B46EE7" w:rsidRDefault="00700CDE" w:rsidP="00700CDE">
            <w:pPr>
              <w:jc w:val="center"/>
              <w:cnfStyle w:val="000000000000" w:firstRow="0" w:lastRow="0" w:firstColumn="0" w:lastColumn="0" w:oddVBand="0" w:evenVBand="0" w:oddHBand="0" w:evenHBand="0" w:firstRowFirstColumn="0" w:firstRowLastColumn="0" w:lastRowFirstColumn="0" w:lastRowLastColumn="0"/>
            </w:pPr>
            <w:r>
              <w:rPr>
                <w:rFonts w:ascii="Wingdings" w:hAnsi="Wingdings" w:cs="Wingdings"/>
                <w:sz w:val="26"/>
                <w:szCs w:val="26"/>
              </w:rPr>
              <w:t>¶¶¶¶</w:t>
            </w:r>
          </w:p>
        </w:tc>
        <w:tc>
          <w:tcPr>
            <w:tcW w:w="1503" w:type="dxa"/>
          </w:tcPr>
          <w:p w14:paraId="40D858F5" w14:textId="3009DA24" w:rsidR="00B46EE7" w:rsidRDefault="00700CDE" w:rsidP="00700CDE">
            <w:pPr>
              <w:jc w:val="center"/>
              <w:cnfStyle w:val="000000000000" w:firstRow="0" w:lastRow="0" w:firstColumn="0" w:lastColumn="0" w:oddVBand="0" w:evenVBand="0" w:oddHBand="0" w:evenHBand="0" w:firstRowFirstColumn="0" w:firstRowLastColumn="0" w:lastRowFirstColumn="0" w:lastRowLastColumn="0"/>
            </w:pPr>
            <w:r>
              <w:rPr>
                <w:rFonts w:ascii="Wingdings" w:hAnsi="Wingdings" w:cs="Wingdings"/>
                <w:sz w:val="26"/>
                <w:szCs w:val="26"/>
              </w:rPr>
              <w:t>¶¶</w:t>
            </w:r>
          </w:p>
        </w:tc>
      </w:tr>
      <w:tr w:rsidR="00B46EE7" w14:paraId="1A010977" w14:textId="77777777" w:rsidTr="002F740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02" w:type="dxa"/>
          </w:tcPr>
          <w:p w14:paraId="24382310" w14:textId="697C0DFD" w:rsidR="00B46EE7" w:rsidRDefault="00B46EE7" w:rsidP="00B46EE7">
            <w:r>
              <w:t>Genetics</w:t>
            </w:r>
          </w:p>
        </w:tc>
        <w:tc>
          <w:tcPr>
            <w:tcW w:w="1502" w:type="dxa"/>
          </w:tcPr>
          <w:p w14:paraId="18A5E2A6" w14:textId="3A587898" w:rsidR="00B46EE7" w:rsidRDefault="00700CDE" w:rsidP="00700CDE">
            <w:pPr>
              <w:jc w:val="center"/>
              <w:cnfStyle w:val="000000100000" w:firstRow="0" w:lastRow="0" w:firstColumn="0" w:lastColumn="0" w:oddVBand="0" w:evenVBand="0" w:oddHBand="1" w:evenHBand="0" w:firstRowFirstColumn="0" w:firstRowLastColumn="0" w:lastRowFirstColumn="0" w:lastRowLastColumn="0"/>
            </w:pPr>
            <w:r>
              <w:rPr>
                <w:rFonts w:ascii="Wingdings" w:hAnsi="Wingdings" w:cs="Wingdings"/>
                <w:sz w:val="26"/>
                <w:szCs w:val="26"/>
              </w:rPr>
              <w:t>¶¶¶</w:t>
            </w:r>
          </w:p>
        </w:tc>
        <w:tc>
          <w:tcPr>
            <w:tcW w:w="1503" w:type="dxa"/>
          </w:tcPr>
          <w:p w14:paraId="2EF4B8DF" w14:textId="76CC657A" w:rsidR="00B46EE7" w:rsidRDefault="00700CDE" w:rsidP="00700CDE">
            <w:pPr>
              <w:jc w:val="center"/>
              <w:cnfStyle w:val="000000100000" w:firstRow="0" w:lastRow="0" w:firstColumn="0" w:lastColumn="0" w:oddVBand="0" w:evenVBand="0" w:oddHBand="1" w:evenHBand="0" w:firstRowFirstColumn="0" w:firstRowLastColumn="0" w:lastRowFirstColumn="0" w:lastRowLastColumn="0"/>
            </w:pPr>
            <w:r>
              <w:rPr>
                <w:rFonts w:ascii="Wingdings" w:hAnsi="Wingdings" w:cs="Wingdings"/>
                <w:sz w:val="26"/>
                <w:szCs w:val="26"/>
              </w:rPr>
              <w:t>¶¶¶¶</w:t>
            </w:r>
          </w:p>
        </w:tc>
        <w:tc>
          <w:tcPr>
            <w:tcW w:w="1503" w:type="dxa"/>
          </w:tcPr>
          <w:p w14:paraId="7D65102F" w14:textId="6FAFAE6A" w:rsidR="00B46EE7" w:rsidRDefault="00700CDE" w:rsidP="00700CDE">
            <w:pPr>
              <w:jc w:val="center"/>
              <w:cnfStyle w:val="000000100000" w:firstRow="0" w:lastRow="0" w:firstColumn="0" w:lastColumn="0" w:oddVBand="0" w:evenVBand="0" w:oddHBand="1" w:evenHBand="0" w:firstRowFirstColumn="0" w:firstRowLastColumn="0" w:lastRowFirstColumn="0" w:lastRowLastColumn="0"/>
            </w:pPr>
            <w:r>
              <w:rPr>
                <w:rFonts w:ascii="Wingdings" w:hAnsi="Wingdings" w:cs="Wingdings"/>
                <w:sz w:val="26"/>
                <w:szCs w:val="26"/>
              </w:rPr>
              <w:t>¶¶¶</w:t>
            </w:r>
          </w:p>
        </w:tc>
        <w:tc>
          <w:tcPr>
            <w:tcW w:w="1503" w:type="dxa"/>
          </w:tcPr>
          <w:p w14:paraId="292ADEBA" w14:textId="7271DC61" w:rsidR="00B46EE7" w:rsidRDefault="00700CDE" w:rsidP="00700CDE">
            <w:pPr>
              <w:jc w:val="center"/>
              <w:cnfStyle w:val="000000100000" w:firstRow="0" w:lastRow="0" w:firstColumn="0" w:lastColumn="0" w:oddVBand="0" w:evenVBand="0" w:oddHBand="1" w:evenHBand="0" w:firstRowFirstColumn="0" w:firstRowLastColumn="0" w:lastRowFirstColumn="0" w:lastRowLastColumn="0"/>
            </w:pPr>
            <w:r>
              <w:rPr>
                <w:rFonts w:ascii="Wingdings" w:hAnsi="Wingdings" w:cs="Wingdings"/>
                <w:sz w:val="26"/>
                <w:szCs w:val="26"/>
              </w:rPr>
              <w:t>¶¶¶¶</w:t>
            </w:r>
          </w:p>
        </w:tc>
        <w:tc>
          <w:tcPr>
            <w:tcW w:w="1503" w:type="dxa"/>
          </w:tcPr>
          <w:p w14:paraId="6CAF3E97" w14:textId="1EC5F3E6" w:rsidR="00B46EE7" w:rsidRDefault="00700CDE" w:rsidP="00700CDE">
            <w:pPr>
              <w:jc w:val="center"/>
              <w:cnfStyle w:val="000000100000" w:firstRow="0" w:lastRow="0" w:firstColumn="0" w:lastColumn="0" w:oddVBand="0" w:evenVBand="0" w:oddHBand="1" w:evenHBand="0" w:firstRowFirstColumn="0" w:firstRowLastColumn="0" w:lastRowFirstColumn="0" w:lastRowLastColumn="0"/>
            </w:pPr>
            <w:r>
              <w:rPr>
                <w:rFonts w:ascii="Wingdings" w:hAnsi="Wingdings" w:cs="Wingdings"/>
                <w:sz w:val="26"/>
                <w:szCs w:val="26"/>
              </w:rPr>
              <w:t>¶¶¶</w:t>
            </w:r>
          </w:p>
        </w:tc>
      </w:tr>
      <w:tr w:rsidR="002F7403" w14:paraId="44C7906F" w14:textId="77777777" w:rsidTr="002F7403">
        <w:tc>
          <w:tcPr>
            <w:cnfStyle w:val="001000000000" w:firstRow="0" w:lastRow="0" w:firstColumn="1" w:lastColumn="0" w:oddVBand="0" w:evenVBand="0" w:oddHBand="0" w:evenHBand="0" w:firstRowFirstColumn="0" w:firstRowLastColumn="0" w:lastRowFirstColumn="0" w:lastRowLastColumn="0"/>
            <w:tcW w:w="1502" w:type="dxa"/>
          </w:tcPr>
          <w:p w14:paraId="35C9427B" w14:textId="77777777" w:rsidR="002F7403" w:rsidRDefault="002F7403" w:rsidP="001516F7">
            <w:r>
              <w:t>iCloud</w:t>
            </w:r>
          </w:p>
        </w:tc>
        <w:tc>
          <w:tcPr>
            <w:tcW w:w="1502" w:type="dxa"/>
          </w:tcPr>
          <w:p w14:paraId="05083CAF" w14:textId="08F50C5E" w:rsidR="002F7403" w:rsidRDefault="00700CDE" w:rsidP="00700CDE">
            <w:pPr>
              <w:jc w:val="center"/>
              <w:cnfStyle w:val="000000000000" w:firstRow="0" w:lastRow="0" w:firstColumn="0" w:lastColumn="0" w:oddVBand="0" w:evenVBand="0" w:oddHBand="0" w:evenHBand="0" w:firstRowFirstColumn="0" w:firstRowLastColumn="0" w:lastRowFirstColumn="0" w:lastRowLastColumn="0"/>
            </w:pPr>
            <w:r>
              <w:rPr>
                <w:rFonts w:ascii="Wingdings" w:hAnsi="Wingdings" w:cs="Wingdings"/>
                <w:sz w:val="26"/>
                <w:szCs w:val="26"/>
              </w:rPr>
              <w:t>¶¶¶¶</w:t>
            </w:r>
          </w:p>
        </w:tc>
        <w:tc>
          <w:tcPr>
            <w:tcW w:w="1503" w:type="dxa"/>
          </w:tcPr>
          <w:p w14:paraId="280CAA71" w14:textId="1A194DD7" w:rsidR="002F7403" w:rsidRDefault="00700CDE" w:rsidP="00700CDE">
            <w:pPr>
              <w:jc w:val="center"/>
              <w:cnfStyle w:val="000000000000" w:firstRow="0" w:lastRow="0" w:firstColumn="0" w:lastColumn="0" w:oddVBand="0" w:evenVBand="0" w:oddHBand="0" w:evenHBand="0" w:firstRowFirstColumn="0" w:firstRowLastColumn="0" w:lastRowFirstColumn="0" w:lastRowLastColumn="0"/>
            </w:pPr>
            <w:r>
              <w:rPr>
                <w:rFonts w:ascii="Wingdings" w:hAnsi="Wingdings" w:cs="Wingdings"/>
                <w:sz w:val="26"/>
                <w:szCs w:val="26"/>
              </w:rPr>
              <w:t>¶¶¶</w:t>
            </w:r>
          </w:p>
        </w:tc>
        <w:tc>
          <w:tcPr>
            <w:tcW w:w="1503" w:type="dxa"/>
          </w:tcPr>
          <w:p w14:paraId="08F3729E" w14:textId="6195DAAA" w:rsidR="002F7403" w:rsidRDefault="00700CDE" w:rsidP="00700CDE">
            <w:pPr>
              <w:jc w:val="center"/>
              <w:cnfStyle w:val="000000000000" w:firstRow="0" w:lastRow="0" w:firstColumn="0" w:lastColumn="0" w:oddVBand="0" w:evenVBand="0" w:oddHBand="0" w:evenHBand="0" w:firstRowFirstColumn="0" w:firstRowLastColumn="0" w:lastRowFirstColumn="0" w:lastRowLastColumn="0"/>
            </w:pPr>
            <w:r>
              <w:rPr>
                <w:rFonts w:ascii="Wingdings" w:hAnsi="Wingdings" w:cs="Wingdings"/>
                <w:sz w:val="26"/>
                <w:szCs w:val="26"/>
              </w:rPr>
              <w:t>¶¶¶</w:t>
            </w:r>
          </w:p>
        </w:tc>
        <w:tc>
          <w:tcPr>
            <w:tcW w:w="1503" w:type="dxa"/>
          </w:tcPr>
          <w:p w14:paraId="7E80C866" w14:textId="6A5240D4" w:rsidR="002F7403" w:rsidRDefault="00700CDE" w:rsidP="00700CDE">
            <w:pPr>
              <w:jc w:val="center"/>
              <w:cnfStyle w:val="000000000000" w:firstRow="0" w:lastRow="0" w:firstColumn="0" w:lastColumn="0" w:oddVBand="0" w:evenVBand="0" w:oddHBand="0" w:evenHBand="0" w:firstRowFirstColumn="0" w:firstRowLastColumn="0" w:lastRowFirstColumn="0" w:lastRowLastColumn="0"/>
            </w:pPr>
            <w:r>
              <w:rPr>
                <w:rFonts w:ascii="Wingdings" w:hAnsi="Wingdings" w:cs="Wingdings"/>
                <w:sz w:val="26"/>
                <w:szCs w:val="26"/>
              </w:rPr>
              <w:t>¶¶¶¶</w:t>
            </w:r>
          </w:p>
        </w:tc>
        <w:tc>
          <w:tcPr>
            <w:tcW w:w="1503" w:type="dxa"/>
          </w:tcPr>
          <w:p w14:paraId="2D94E951" w14:textId="20860C73" w:rsidR="002F7403" w:rsidRDefault="00700CDE" w:rsidP="00700CDE">
            <w:pPr>
              <w:jc w:val="center"/>
              <w:cnfStyle w:val="000000000000" w:firstRow="0" w:lastRow="0" w:firstColumn="0" w:lastColumn="0" w:oddVBand="0" w:evenVBand="0" w:oddHBand="0" w:evenHBand="0" w:firstRowFirstColumn="0" w:firstRowLastColumn="0" w:lastRowFirstColumn="0" w:lastRowLastColumn="0"/>
            </w:pPr>
            <w:r>
              <w:rPr>
                <w:rFonts w:ascii="Wingdings" w:hAnsi="Wingdings" w:cs="Wingdings"/>
                <w:sz w:val="26"/>
                <w:szCs w:val="26"/>
              </w:rPr>
              <w:t>¶¶¶</w:t>
            </w:r>
          </w:p>
        </w:tc>
      </w:tr>
      <w:tr w:rsidR="00B46EE7" w14:paraId="74663228" w14:textId="77777777" w:rsidTr="002F740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02" w:type="dxa"/>
          </w:tcPr>
          <w:p w14:paraId="34D4CF35" w14:textId="288B3C71" w:rsidR="00B46EE7" w:rsidRDefault="00B46EE7" w:rsidP="00B46EE7">
            <w:r>
              <w:t>SRCF</w:t>
            </w:r>
          </w:p>
        </w:tc>
        <w:tc>
          <w:tcPr>
            <w:tcW w:w="1502" w:type="dxa"/>
          </w:tcPr>
          <w:p w14:paraId="631DE7D6" w14:textId="161FC310" w:rsidR="00B46EE7" w:rsidRDefault="00700CDE" w:rsidP="00700CDE">
            <w:pPr>
              <w:jc w:val="center"/>
              <w:cnfStyle w:val="000000100000" w:firstRow="0" w:lastRow="0" w:firstColumn="0" w:lastColumn="0" w:oddVBand="0" w:evenVBand="0" w:oddHBand="1" w:evenHBand="0" w:firstRowFirstColumn="0" w:firstRowLastColumn="0" w:lastRowFirstColumn="0" w:lastRowLastColumn="0"/>
            </w:pPr>
            <w:r>
              <w:rPr>
                <w:rFonts w:ascii="Wingdings" w:hAnsi="Wingdings" w:cs="Wingdings"/>
                <w:sz w:val="26"/>
                <w:szCs w:val="26"/>
              </w:rPr>
              <w:t>¶¶¶</w:t>
            </w:r>
          </w:p>
        </w:tc>
        <w:tc>
          <w:tcPr>
            <w:tcW w:w="1503" w:type="dxa"/>
          </w:tcPr>
          <w:p w14:paraId="0D53F6CE" w14:textId="5196E791" w:rsidR="00B46EE7" w:rsidRDefault="00700CDE" w:rsidP="00700CDE">
            <w:pPr>
              <w:jc w:val="center"/>
              <w:cnfStyle w:val="000000100000" w:firstRow="0" w:lastRow="0" w:firstColumn="0" w:lastColumn="0" w:oddVBand="0" w:evenVBand="0" w:oddHBand="1" w:evenHBand="0" w:firstRowFirstColumn="0" w:firstRowLastColumn="0" w:lastRowFirstColumn="0" w:lastRowLastColumn="0"/>
            </w:pPr>
            <w:r>
              <w:rPr>
                <w:rFonts w:ascii="Wingdings" w:hAnsi="Wingdings" w:cs="Wingdings"/>
                <w:sz w:val="26"/>
                <w:szCs w:val="26"/>
              </w:rPr>
              <w:t>¶¶¶¶</w:t>
            </w:r>
          </w:p>
        </w:tc>
        <w:tc>
          <w:tcPr>
            <w:tcW w:w="1503" w:type="dxa"/>
          </w:tcPr>
          <w:p w14:paraId="692FEC30" w14:textId="0ADCAD74" w:rsidR="00B46EE7" w:rsidRDefault="00700CDE" w:rsidP="00700CDE">
            <w:pPr>
              <w:jc w:val="center"/>
              <w:cnfStyle w:val="000000100000" w:firstRow="0" w:lastRow="0" w:firstColumn="0" w:lastColumn="0" w:oddVBand="0" w:evenVBand="0" w:oddHBand="1" w:evenHBand="0" w:firstRowFirstColumn="0" w:firstRowLastColumn="0" w:lastRowFirstColumn="0" w:lastRowLastColumn="0"/>
            </w:pPr>
            <w:r>
              <w:rPr>
                <w:rFonts w:ascii="Wingdings" w:hAnsi="Wingdings" w:cs="Wingdings"/>
                <w:sz w:val="26"/>
                <w:szCs w:val="26"/>
              </w:rPr>
              <w:t>¶¶¶</w:t>
            </w:r>
          </w:p>
        </w:tc>
        <w:tc>
          <w:tcPr>
            <w:tcW w:w="1503" w:type="dxa"/>
          </w:tcPr>
          <w:p w14:paraId="6E84E5D8" w14:textId="64398D11" w:rsidR="00B46EE7" w:rsidRDefault="00700CDE" w:rsidP="00700CDE">
            <w:pPr>
              <w:jc w:val="center"/>
              <w:cnfStyle w:val="000000100000" w:firstRow="0" w:lastRow="0" w:firstColumn="0" w:lastColumn="0" w:oddVBand="0" w:evenVBand="0" w:oddHBand="1" w:evenHBand="0" w:firstRowFirstColumn="0" w:firstRowLastColumn="0" w:lastRowFirstColumn="0" w:lastRowLastColumn="0"/>
            </w:pPr>
            <w:r>
              <w:rPr>
                <w:rFonts w:ascii="Wingdings" w:hAnsi="Wingdings" w:cs="Wingdings"/>
                <w:sz w:val="26"/>
                <w:szCs w:val="26"/>
              </w:rPr>
              <w:t>¶¶¶</w:t>
            </w:r>
          </w:p>
        </w:tc>
        <w:tc>
          <w:tcPr>
            <w:tcW w:w="1503" w:type="dxa"/>
          </w:tcPr>
          <w:p w14:paraId="7B728BB2" w14:textId="76A14A85" w:rsidR="00B46EE7" w:rsidRDefault="00700CDE" w:rsidP="00700CDE">
            <w:pPr>
              <w:jc w:val="center"/>
              <w:cnfStyle w:val="000000100000" w:firstRow="0" w:lastRow="0" w:firstColumn="0" w:lastColumn="0" w:oddVBand="0" w:evenVBand="0" w:oddHBand="1" w:evenHBand="0" w:firstRowFirstColumn="0" w:firstRowLastColumn="0" w:lastRowFirstColumn="0" w:lastRowLastColumn="0"/>
            </w:pPr>
            <w:r>
              <w:rPr>
                <w:rFonts w:ascii="Wingdings" w:hAnsi="Wingdings" w:cs="Wingdings"/>
                <w:sz w:val="26"/>
                <w:szCs w:val="26"/>
              </w:rPr>
              <w:t>¶¶¶</w:t>
            </w:r>
          </w:p>
        </w:tc>
      </w:tr>
      <w:tr w:rsidR="00B46EE7" w14:paraId="27DC299C" w14:textId="77777777" w:rsidTr="002F7403">
        <w:tc>
          <w:tcPr>
            <w:cnfStyle w:val="001000000000" w:firstRow="0" w:lastRow="0" w:firstColumn="1" w:lastColumn="0" w:oddVBand="0" w:evenVBand="0" w:oddHBand="0" w:evenHBand="0" w:firstRowFirstColumn="0" w:firstRowLastColumn="0" w:lastRowFirstColumn="0" w:lastRowLastColumn="0"/>
            <w:tcW w:w="1502" w:type="dxa"/>
          </w:tcPr>
          <w:p w14:paraId="0EF8D0A3" w14:textId="60027A50" w:rsidR="00B46EE7" w:rsidRDefault="00700CDE" w:rsidP="00B46EE7">
            <w:r>
              <w:t>(</w:t>
            </w:r>
            <w:r w:rsidR="00B46EE7">
              <w:t>Hermes</w:t>
            </w:r>
            <w:r>
              <w:t>)</w:t>
            </w:r>
          </w:p>
        </w:tc>
        <w:tc>
          <w:tcPr>
            <w:tcW w:w="1502" w:type="dxa"/>
          </w:tcPr>
          <w:p w14:paraId="7A68ADEA" w14:textId="192F1A4E" w:rsidR="00B46EE7" w:rsidRDefault="00700CDE" w:rsidP="00700CDE">
            <w:pPr>
              <w:jc w:val="center"/>
              <w:cnfStyle w:val="000000000000" w:firstRow="0" w:lastRow="0" w:firstColumn="0" w:lastColumn="0" w:oddVBand="0" w:evenVBand="0" w:oddHBand="0" w:evenHBand="0" w:firstRowFirstColumn="0" w:firstRowLastColumn="0" w:lastRowFirstColumn="0" w:lastRowLastColumn="0"/>
            </w:pPr>
            <w:r>
              <w:rPr>
                <w:rFonts w:ascii="Wingdings" w:hAnsi="Wingdings" w:cs="Wingdings"/>
                <w:sz w:val="26"/>
                <w:szCs w:val="26"/>
              </w:rPr>
              <w:t>¶¶¶</w:t>
            </w:r>
          </w:p>
        </w:tc>
        <w:tc>
          <w:tcPr>
            <w:tcW w:w="1503" w:type="dxa"/>
          </w:tcPr>
          <w:p w14:paraId="1CE4ECC3" w14:textId="1202AF28" w:rsidR="00B46EE7" w:rsidRDefault="00700CDE" w:rsidP="00700CDE">
            <w:pPr>
              <w:jc w:val="center"/>
              <w:cnfStyle w:val="000000000000" w:firstRow="0" w:lastRow="0" w:firstColumn="0" w:lastColumn="0" w:oddVBand="0" w:evenVBand="0" w:oddHBand="0" w:evenHBand="0" w:firstRowFirstColumn="0" w:firstRowLastColumn="0" w:lastRowFirstColumn="0" w:lastRowLastColumn="0"/>
            </w:pPr>
            <w:r>
              <w:rPr>
                <w:rFonts w:ascii="Wingdings" w:hAnsi="Wingdings" w:cs="Wingdings"/>
                <w:sz w:val="26"/>
                <w:szCs w:val="26"/>
              </w:rPr>
              <w:t>¶¶¶</w:t>
            </w:r>
          </w:p>
        </w:tc>
        <w:tc>
          <w:tcPr>
            <w:tcW w:w="1503" w:type="dxa"/>
          </w:tcPr>
          <w:p w14:paraId="155BA6F8" w14:textId="6612BC80" w:rsidR="00B46EE7" w:rsidRDefault="00700CDE" w:rsidP="00700CDE">
            <w:pPr>
              <w:jc w:val="center"/>
              <w:cnfStyle w:val="000000000000" w:firstRow="0" w:lastRow="0" w:firstColumn="0" w:lastColumn="0" w:oddVBand="0" w:evenVBand="0" w:oddHBand="0" w:evenHBand="0" w:firstRowFirstColumn="0" w:firstRowLastColumn="0" w:lastRowFirstColumn="0" w:lastRowLastColumn="0"/>
            </w:pPr>
            <w:r>
              <w:rPr>
                <w:rFonts w:ascii="Wingdings" w:hAnsi="Wingdings" w:cs="Wingdings"/>
                <w:sz w:val="26"/>
                <w:szCs w:val="26"/>
              </w:rPr>
              <w:t>¶¶¶</w:t>
            </w:r>
          </w:p>
        </w:tc>
        <w:tc>
          <w:tcPr>
            <w:tcW w:w="1503" w:type="dxa"/>
          </w:tcPr>
          <w:p w14:paraId="78213F6C" w14:textId="2575C478" w:rsidR="00B46EE7" w:rsidRDefault="00700CDE" w:rsidP="00700CDE">
            <w:pPr>
              <w:jc w:val="center"/>
              <w:cnfStyle w:val="000000000000" w:firstRow="0" w:lastRow="0" w:firstColumn="0" w:lastColumn="0" w:oddVBand="0" w:evenVBand="0" w:oddHBand="0" w:evenHBand="0" w:firstRowFirstColumn="0" w:firstRowLastColumn="0" w:lastRowFirstColumn="0" w:lastRowLastColumn="0"/>
            </w:pPr>
            <w:r>
              <w:rPr>
                <w:rFonts w:ascii="Wingdings" w:hAnsi="Wingdings" w:cs="Wingdings"/>
                <w:sz w:val="26"/>
                <w:szCs w:val="26"/>
              </w:rPr>
              <w:t>¶¶¶</w:t>
            </w:r>
          </w:p>
        </w:tc>
        <w:tc>
          <w:tcPr>
            <w:tcW w:w="1503" w:type="dxa"/>
          </w:tcPr>
          <w:p w14:paraId="2E8B0F71" w14:textId="2E1321FA" w:rsidR="00B46EE7" w:rsidRDefault="00700CDE" w:rsidP="00700CDE">
            <w:pPr>
              <w:jc w:val="center"/>
              <w:cnfStyle w:val="000000000000" w:firstRow="0" w:lastRow="0" w:firstColumn="0" w:lastColumn="0" w:oddVBand="0" w:evenVBand="0" w:oddHBand="0" w:evenHBand="0" w:firstRowFirstColumn="0" w:firstRowLastColumn="0" w:lastRowFirstColumn="0" w:lastRowLastColumn="0"/>
            </w:pPr>
            <w:r>
              <w:rPr>
                <w:rFonts w:ascii="Wingdings" w:hAnsi="Wingdings" w:cs="Wingdings"/>
                <w:sz w:val="26"/>
                <w:szCs w:val="26"/>
              </w:rPr>
              <w:t>¶¶¶</w:t>
            </w:r>
          </w:p>
        </w:tc>
      </w:tr>
    </w:tbl>
    <w:p w14:paraId="5F2521D4" w14:textId="77777777" w:rsidR="005955F2" w:rsidRDefault="005955F2" w:rsidP="00B46EE7"/>
    <w:p w14:paraId="4A99BD92" w14:textId="022B375A" w:rsidR="005955F2" w:rsidRDefault="002F7403" w:rsidP="005955F2">
      <w:r>
        <w:t>In addition to the general ease of use, there are other differentiating factors. Exchange Online offers much more storage space than Hermes (50GB vs the default 2GB) and includes other features, such as shared calendaring, shared address books etc. Gmail and iCloud also offer these features, however none of these services inter-operate.</w:t>
      </w:r>
    </w:p>
    <w:p w14:paraId="08082AFB" w14:textId="1F1BB980" w:rsidR="005955F2" w:rsidRPr="005955F2" w:rsidRDefault="005955F2" w:rsidP="005955F2">
      <w:pPr>
        <w:pStyle w:val="Heading2"/>
      </w:pPr>
      <w:r>
        <w:t xml:space="preserve">Changing </w:t>
      </w:r>
      <w:r w:rsidR="00FC57E9">
        <w:t>e</w:t>
      </w:r>
      <w:r>
        <w:t>mail program</w:t>
      </w:r>
    </w:p>
    <w:p w14:paraId="7269E14D" w14:textId="73C6BAE0" w:rsidR="005955F2" w:rsidRDefault="005955F2" w:rsidP="005955F2">
      <w:r>
        <w:t xml:space="preserve">If you continue using the same email program the risks are very low, aside from a temporary interruption to your email access, and some annoyance to anyone who tries to use your Hermes email address (it will bounce suggesting people use your @cam.ac.uk address.) </w:t>
      </w:r>
    </w:p>
    <w:p w14:paraId="29FC1532" w14:textId="41B5C6B6" w:rsidR="005955F2" w:rsidRDefault="005955F2" w:rsidP="005955F2">
      <w:r>
        <w:t>If you change email programs (for example from Thunderbird to Outlook) you will lose access to saved contacts and all mail stored in “Local Folders,” and the same applies to migrating from Apple Mail to Outlook.</w:t>
      </w:r>
      <w:r w:rsidR="00700CDE">
        <w:t xml:space="preserve"> If you archive to local folders this mail will be stuck within your old email program.</w:t>
      </w:r>
    </w:p>
    <w:p w14:paraId="69B18D06" w14:textId="34198616" w:rsidR="005955F2" w:rsidRDefault="005955F2" w:rsidP="005955F2">
      <w:r>
        <w:t>However, if you are not using a mail access method suited to the service you will have a harder time setting up, and UIS provide very limited support.</w:t>
      </w:r>
    </w:p>
    <w:p w14:paraId="5239C140" w14:textId="141E50F1" w:rsidR="006A1B38" w:rsidRDefault="006A1B38" w:rsidP="005955F2">
      <w:r>
        <w:t xml:space="preserve">The webmail system will be different for all providers, so you will lose saved contacts and server-side mail </w:t>
      </w:r>
      <w:r w:rsidR="00700CDE">
        <w:t xml:space="preserve">forwarding and </w:t>
      </w:r>
      <w:r>
        <w:t>filters, regardless of which option you choose.</w:t>
      </w:r>
    </w:p>
    <w:p w14:paraId="0AD89917" w14:textId="1E609128" w:rsidR="005955F2" w:rsidRDefault="005955F2" w:rsidP="005955F2">
      <w:pPr>
        <w:pStyle w:val="Heading2"/>
      </w:pPr>
      <w:r>
        <w:lastRenderedPageBreak/>
        <w:t xml:space="preserve">Summaries of </w:t>
      </w:r>
      <w:r w:rsidR="00FC57E9">
        <w:t>s</w:t>
      </w:r>
      <w:r>
        <w:t>ervices</w:t>
      </w:r>
    </w:p>
    <w:p w14:paraId="15950A91" w14:textId="7B6C6BAD" w:rsidR="005955F2" w:rsidRDefault="00F26A4D" w:rsidP="00F26A4D">
      <w:pPr>
        <w:pStyle w:val="Heading3"/>
      </w:pPr>
      <w:r>
        <w:t>Exchange On-line</w:t>
      </w:r>
    </w:p>
    <w:p w14:paraId="096BCDB4" w14:textId="11558C77" w:rsidR="00F26A4D" w:rsidRDefault="00F26A4D" w:rsidP="00F26A4D">
      <w:r>
        <w:t xml:space="preserve">This is Microsoft’s corporate system which includes email, calendaring and contacts. It is designed to work only with Microsoft software. The University pays for this as part of the Office 365 contract. </w:t>
      </w:r>
      <w:r w:rsidR="00FC57E9">
        <w:t>100</w:t>
      </w:r>
      <w:r>
        <w:t>GB of storage, not expandable.</w:t>
      </w:r>
      <w:r w:rsidR="006A1B38">
        <w:t xml:space="preserve"> </w:t>
      </w:r>
    </w:p>
    <w:p w14:paraId="63009DAF" w14:textId="77777777" w:rsidR="00700CDE" w:rsidRDefault="00F2125A" w:rsidP="00F26A4D">
      <w:r>
        <w:t>Em</w:t>
      </w:r>
      <w:r w:rsidR="00AC456E">
        <w:t>ail m</w:t>
      </w:r>
      <w:r w:rsidR="0091078D">
        <w:t xml:space="preserve">igration procedure: </w:t>
      </w:r>
    </w:p>
    <w:p w14:paraId="16B54296" w14:textId="7EB89264" w:rsidR="0091078D" w:rsidRDefault="00700CDE" w:rsidP="00F26A4D">
      <w:hyperlink r:id="rId6" w:history="1">
        <w:r w:rsidRPr="00FD0AAD">
          <w:rPr>
            <w:rStyle w:val="Hyperlink"/>
          </w:rPr>
          <w:t>https://help.uis.cam.ac.uk/service/email/exol-migration/hermes-eol-migration/hermes-migration-advice</w:t>
        </w:r>
      </w:hyperlink>
    </w:p>
    <w:p w14:paraId="7E36D59B" w14:textId="46985E68" w:rsidR="00F26A4D" w:rsidRDefault="00F26A4D" w:rsidP="00F26A4D">
      <w:pPr>
        <w:pStyle w:val="Heading3"/>
      </w:pPr>
      <w:r>
        <w:t>Gmail</w:t>
      </w:r>
    </w:p>
    <w:p w14:paraId="5E6A9D43" w14:textId="3A27B111" w:rsidR="00F26A4D" w:rsidRDefault="00F26A4D" w:rsidP="00F26A4D">
      <w:r>
        <w:t xml:space="preserve">Run by Google, this is a less corporate system, also including email, calendaring and contacts. </w:t>
      </w:r>
      <w:r w:rsidR="00F2125A">
        <w:t>Email</w:t>
      </w:r>
      <w:r>
        <w:t xml:space="preserve"> is not included in any contract with the University, so use </w:t>
      </w:r>
      <w:r w:rsidR="00AC456E">
        <w:t>must</w:t>
      </w:r>
      <w:r>
        <w:t xml:space="preserve"> be as a private individual. 15GB of storage free, can be expanded for a fee.</w:t>
      </w:r>
      <w:r w:rsidR="00706099">
        <w:t xml:space="preserve"> You will not be able to send mail </w:t>
      </w:r>
      <w:r w:rsidR="00706099" w:rsidRPr="00955CCC">
        <w:rPr>
          <w:i/>
          <w:iCs/>
        </w:rPr>
        <w:t>from</w:t>
      </w:r>
      <w:r w:rsidR="00706099">
        <w:t xml:space="preserve"> </w:t>
      </w:r>
      <w:proofErr w:type="gramStart"/>
      <w:r w:rsidR="00706099">
        <w:t>an</w:t>
      </w:r>
      <w:proofErr w:type="gramEnd"/>
      <w:r w:rsidR="00706099">
        <w:t xml:space="preserve"> @cam.ac.uk address</w:t>
      </w:r>
      <w:r w:rsidR="00955CCC">
        <w:t>, but mail can be forwarded</w:t>
      </w:r>
      <w:r w:rsidR="00706099">
        <w:t>.</w:t>
      </w:r>
      <w:r w:rsidR="006A1B38">
        <w:t xml:space="preserve"> </w:t>
      </w:r>
    </w:p>
    <w:p w14:paraId="1D72CAD1" w14:textId="77777777" w:rsidR="00700CDE" w:rsidRDefault="00F2125A" w:rsidP="00F26A4D">
      <w:r>
        <w:t>Em</w:t>
      </w:r>
      <w:r w:rsidR="00AC456E">
        <w:t>ail m</w:t>
      </w:r>
      <w:r w:rsidR="0091078D">
        <w:t xml:space="preserve">igration procedure: </w:t>
      </w:r>
    </w:p>
    <w:p w14:paraId="241D9267" w14:textId="02D5EC18" w:rsidR="0091078D" w:rsidRDefault="00700CDE" w:rsidP="00F26A4D">
      <w:hyperlink r:id="rId7" w:history="1">
        <w:r w:rsidRPr="00FD0AAD">
          <w:rPr>
            <w:rStyle w:val="Hyperlink"/>
          </w:rPr>
          <w:t>https://support.google.com/mail/answer/21289</w:t>
        </w:r>
      </w:hyperlink>
    </w:p>
    <w:p w14:paraId="4190AAFF" w14:textId="69B76E4D" w:rsidR="00F26A4D" w:rsidRDefault="00F26A4D" w:rsidP="00F26A4D">
      <w:pPr>
        <w:pStyle w:val="Heading3"/>
      </w:pPr>
      <w:r>
        <w:t>Genetics</w:t>
      </w:r>
    </w:p>
    <w:p w14:paraId="6BBC1F5C" w14:textId="5BC9E6CA" w:rsidR="005955F2" w:rsidRDefault="00F26A4D" w:rsidP="005955F2">
      <w:r>
        <w:t>At Genetics we have run our own mail</w:t>
      </w:r>
      <w:r w:rsidR="00FC57E9">
        <w:t xml:space="preserve"> system</w:t>
      </w:r>
      <w:r>
        <w:t xml:space="preserve"> since before the Hermes service was created</w:t>
      </w:r>
      <w:r w:rsidR="00546A58">
        <w:t>, mostly to provide smart mailing lists</w:t>
      </w:r>
      <w:r>
        <w:t xml:space="preserve">. The current incarnation offers most of the facilities that Hermes does, and some which it does not. At present </w:t>
      </w:r>
      <w:r w:rsidR="00546A58">
        <w:t>accounts</w:t>
      </w:r>
      <w:r>
        <w:t xml:space="preserve"> </w:t>
      </w:r>
      <w:r w:rsidR="00546A58">
        <w:t xml:space="preserve">are only </w:t>
      </w:r>
      <w:r>
        <w:t>available to administrative staff</w:t>
      </w:r>
      <w:r w:rsidR="00706099">
        <w:t xml:space="preserve"> in Genetics</w:t>
      </w:r>
      <w:r>
        <w:t>.</w:t>
      </w:r>
      <w:r w:rsidR="00FC57E9">
        <w:t xml:space="preserve"> 15GB of space, currently not expandable. We have full control over this system, so changes can be made, subject to resourcing.</w:t>
      </w:r>
    </w:p>
    <w:p w14:paraId="0889309D" w14:textId="590FF3F3" w:rsidR="0091078D" w:rsidRDefault="00F2125A" w:rsidP="005955F2">
      <w:r>
        <w:t>Em</w:t>
      </w:r>
      <w:r w:rsidR="00AC456E">
        <w:t>ail m</w:t>
      </w:r>
      <w:r w:rsidR="0091078D">
        <w:t xml:space="preserve">igration procedure: No formal procedure, typically one would add both Hermes and Genetics to a mail client then drag &amp; drop </w:t>
      </w:r>
      <w:r w:rsidR="00546A58">
        <w:t xml:space="preserve">mail </w:t>
      </w:r>
      <w:proofErr w:type="gramStart"/>
      <w:r w:rsidR="0091078D">
        <w:t>folders</w:t>
      </w:r>
      <w:proofErr w:type="gramEnd"/>
      <w:r w:rsidR="0091078D">
        <w:t xml:space="preserve">. An automated procedure is </w:t>
      </w:r>
      <w:r w:rsidR="00081294">
        <w:t>possible if required</w:t>
      </w:r>
      <w:r w:rsidR="0091078D">
        <w:t>.</w:t>
      </w:r>
    </w:p>
    <w:p w14:paraId="7A7B9CA7" w14:textId="7335A6A7" w:rsidR="00F26A4D" w:rsidRDefault="00F26A4D" w:rsidP="00F26A4D">
      <w:pPr>
        <w:pStyle w:val="Heading3"/>
      </w:pPr>
      <w:r>
        <w:t>iCloud</w:t>
      </w:r>
    </w:p>
    <w:p w14:paraId="6C475BC3" w14:textId="2691AD9E" w:rsidR="00F26A4D" w:rsidRDefault="00F26A4D" w:rsidP="00F26A4D">
      <w:r>
        <w:t>Apple’s consumer orientated cloud service offers many of the same features as Google and Microsoft’s. The free offering is 5GB, and there are a variety of pricing plans.</w:t>
      </w:r>
      <w:r w:rsidR="00706099">
        <w:t xml:space="preserve"> You will not be able to send mail </w:t>
      </w:r>
      <w:r w:rsidR="00706099" w:rsidRPr="00955CCC">
        <w:rPr>
          <w:i/>
          <w:iCs/>
        </w:rPr>
        <w:t>from</w:t>
      </w:r>
      <w:r w:rsidR="00706099">
        <w:t xml:space="preserve"> </w:t>
      </w:r>
      <w:proofErr w:type="gramStart"/>
      <w:r w:rsidR="00706099">
        <w:t>an</w:t>
      </w:r>
      <w:proofErr w:type="gramEnd"/>
      <w:r w:rsidR="00706099">
        <w:t xml:space="preserve"> @cam.ac.uk address</w:t>
      </w:r>
      <w:r w:rsidR="00955CCC">
        <w:t>, but mail can be forwarded</w:t>
      </w:r>
      <w:r w:rsidR="00706099">
        <w:t>.</w:t>
      </w:r>
    </w:p>
    <w:p w14:paraId="3DBE5BD1" w14:textId="18B33349" w:rsidR="0091078D" w:rsidRPr="00F26A4D" w:rsidRDefault="00F2125A" w:rsidP="00F26A4D">
      <w:r>
        <w:t>Email m</w:t>
      </w:r>
      <w:r w:rsidR="0091078D">
        <w:t>igration procedure: No formal procedure, typically one would add both Hermes and iCloud to Apple Mail then drag &amp; drop</w:t>
      </w:r>
      <w:r w:rsidR="00546A58">
        <w:t xml:space="preserve"> mail</w:t>
      </w:r>
      <w:r w:rsidR="0091078D">
        <w:t xml:space="preserve"> folders.</w:t>
      </w:r>
    </w:p>
    <w:p w14:paraId="6300881A" w14:textId="05070C9D" w:rsidR="00F26A4D" w:rsidRDefault="00F26A4D" w:rsidP="00F26A4D">
      <w:pPr>
        <w:pStyle w:val="Heading3"/>
      </w:pPr>
      <w:r>
        <w:t>SRCF</w:t>
      </w:r>
    </w:p>
    <w:p w14:paraId="18578D2E" w14:textId="08901734" w:rsidR="0091078D" w:rsidRDefault="00F26A4D" w:rsidP="0091078D">
      <w:r>
        <w:t xml:space="preserve">The Student Run Computing Facility offer accounts (including email) to all members of the University. The system is </w:t>
      </w:r>
      <w:proofErr w:type="gramStart"/>
      <w:r>
        <w:t>similar to</w:t>
      </w:r>
      <w:proofErr w:type="gramEnd"/>
      <w:r>
        <w:t xml:space="preserve"> Hermes. There appears to be a 2GB limit on file space.</w:t>
      </w:r>
      <w:r w:rsidR="00706099">
        <w:t xml:space="preserve"> </w:t>
      </w:r>
    </w:p>
    <w:p w14:paraId="3E1EAB2D" w14:textId="72A54F24" w:rsidR="0091078D" w:rsidRPr="00F26A4D" w:rsidRDefault="00F2125A" w:rsidP="0091078D">
      <w:r>
        <w:t>Email m</w:t>
      </w:r>
      <w:r w:rsidR="0091078D">
        <w:t>igration procedure: No formal procedure, typically one would add both Hermes and iCloud to a mail client then drag &amp; drop</w:t>
      </w:r>
      <w:r w:rsidR="00546A58">
        <w:t xml:space="preserve"> mail</w:t>
      </w:r>
      <w:r w:rsidR="0091078D">
        <w:t xml:space="preserve"> </w:t>
      </w:r>
      <w:proofErr w:type="gramStart"/>
      <w:r w:rsidR="0091078D">
        <w:t>folders</w:t>
      </w:r>
      <w:proofErr w:type="gramEnd"/>
      <w:r w:rsidR="0091078D">
        <w:t>.</w:t>
      </w:r>
    </w:p>
    <w:p w14:paraId="1AD6D10D" w14:textId="77777777" w:rsidR="0091078D" w:rsidRPr="0091078D" w:rsidRDefault="0091078D" w:rsidP="0091078D"/>
    <w:sectPr w:rsidR="0091078D" w:rsidRPr="0091078D" w:rsidSect="00700CDE">
      <w:pgSz w:w="11906" w:h="16838"/>
      <w:pgMar w:top="1134" w:right="1440" w:bottom="1135"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Shell Dlg 2">
    <w:panose1 w:val="020B0604030504040204"/>
    <w:charset w:val="00"/>
    <w:family w:val="auto"/>
    <w:pitch w:val="default"/>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6EE7"/>
    <w:rsid w:val="00026746"/>
    <w:rsid w:val="00062601"/>
    <w:rsid w:val="00081294"/>
    <w:rsid w:val="002F7403"/>
    <w:rsid w:val="00346434"/>
    <w:rsid w:val="00546A58"/>
    <w:rsid w:val="005955F2"/>
    <w:rsid w:val="006A1B38"/>
    <w:rsid w:val="00700CDE"/>
    <w:rsid w:val="00706099"/>
    <w:rsid w:val="0091078D"/>
    <w:rsid w:val="00955CCC"/>
    <w:rsid w:val="00A02B12"/>
    <w:rsid w:val="00AC456E"/>
    <w:rsid w:val="00B46EE7"/>
    <w:rsid w:val="00C83E7B"/>
    <w:rsid w:val="00CA292D"/>
    <w:rsid w:val="00D225AA"/>
    <w:rsid w:val="00D835EC"/>
    <w:rsid w:val="00EC7254"/>
    <w:rsid w:val="00F2125A"/>
    <w:rsid w:val="00F26A4D"/>
    <w:rsid w:val="00FC57E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CAB28D"/>
  <w15:chartTrackingRefBased/>
  <w15:docId w15:val="{119F8C62-E3A4-41F1-9694-C8090341CD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57E9"/>
    <w:rPr>
      <w:rFonts w:ascii="Arial" w:hAnsi="Arial"/>
      <w:sz w:val="24"/>
    </w:rPr>
  </w:style>
  <w:style w:type="paragraph" w:styleId="Heading1">
    <w:name w:val="heading 1"/>
    <w:basedOn w:val="Normal"/>
    <w:next w:val="Normal"/>
    <w:link w:val="Heading1Char"/>
    <w:uiPriority w:val="9"/>
    <w:qFormat/>
    <w:rsid w:val="006A1B38"/>
    <w:pPr>
      <w:keepNext/>
      <w:keepLines/>
      <w:spacing w:before="240" w:after="0"/>
      <w:outlineLvl w:val="0"/>
    </w:pPr>
    <w:rPr>
      <w:rFonts w:eastAsiaTheme="majorEastAsia" w:cstheme="majorBidi"/>
      <w:sz w:val="40"/>
      <w:szCs w:val="32"/>
    </w:rPr>
  </w:style>
  <w:style w:type="paragraph" w:styleId="Heading2">
    <w:name w:val="heading 2"/>
    <w:basedOn w:val="Normal"/>
    <w:next w:val="Normal"/>
    <w:link w:val="Heading2Char"/>
    <w:uiPriority w:val="9"/>
    <w:unhideWhenUsed/>
    <w:qFormat/>
    <w:rsid w:val="006A1B38"/>
    <w:pPr>
      <w:keepNext/>
      <w:keepLines/>
      <w:spacing w:before="40" w:after="0"/>
      <w:outlineLvl w:val="1"/>
    </w:pPr>
    <w:rPr>
      <w:rFonts w:eastAsiaTheme="majorEastAsia" w:cstheme="majorBidi"/>
      <w:sz w:val="32"/>
      <w:szCs w:val="26"/>
    </w:rPr>
  </w:style>
  <w:style w:type="paragraph" w:styleId="Heading3">
    <w:name w:val="heading 3"/>
    <w:basedOn w:val="Normal"/>
    <w:next w:val="Normal"/>
    <w:link w:val="Heading3Char"/>
    <w:uiPriority w:val="9"/>
    <w:unhideWhenUsed/>
    <w:qFormat/>
    <w:rsid w:val="006A1B38"/>
    <w:pPr>
      <w:keepNext/>
      <w:keepLines/>
      <w:spacing w:before="40" w:after="0"/>
      <w:outlineLvl w:val="2"/>
    </w:pPr>
    <w:rPr>
      <w:rFonts w:eastAsiaTheme="majorEastAsia" w:cstheme="majorBidi"/>
      <w:sz w:val="28"/>
      <w:szCs w:val="24"/>
    </w:rPr>
  </w:style>
  <w:style w:type="paragraph" w:styleId="Heading4">
    <w:name w:val="heading 4"/>
    <w:basedOn w:val="Normal"/>
    <w:next w:val="Normal"/>
    <w:link w:val="Heading4Char"/>
    <w:uiPriority w:val="9"/>
    <w:unhideWhenUsed/>
    <w:qFormat/>
    <w:rsid w:val="00B46EE7"/>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A1B38"/>
    <w:rPr>
      <w:rFonts w:ascii="Arial" w:eastAsiaTheme="majorEastAsia" w:hAnsi="Arial" w:cstheme="majorBidi"/>
      <w:sz w:val="40"/>
      <w:szCs w:val="32"/>
    </w:rPr>
  </w:style>
  <w:style w:type="character" w:customStyle="1" w:styleId="Heading2Char">
    <w:name w:val="Heading 2 Char"/>
    <w:basedOn w:val="DefaultParagraphFont"/>
    <w:link w:val="Heading2"/>
    <w:uiPriority w:val="9"/>
    <w:rsid w:val="006A1B38"/>
    <w:rPr>
      <w:rFonts w:ascii="Arial" w:eastAsiaTheme="majorEastAsia" w:hAnsi="Arial" w:cstheme="majorBidi"/>
      <w:sz w:val="32"/>
      <w:szCs w:val="26"/>
    </w:rPr>
  </w:style>
  <w:style w:type="character" w:customStyle="1" w:styleId="Heading3Char">
    <w:name w:val="Heading 3 Char"/>
    <w:basedOn w:val="DefaultParagraphFont"/>
    <w:link w:val="Heading3"/>
    <w:uiPriority w:val="9"/>
    <w:rsid w:val="006A1B38"/>
    <w:rPr>
      <w:rFonts w:ascii="Arial" w:eastAsiaTheme="majorEastAsia" w:hAnsi="Arial" w:cstheme="majorBidi"/>
      <w:sz w:val="28"/>
      <w:szCs w:val="24"/>
    </w:rPr>
  </w:style>
  <w:style w:type="character" w:customStyle="1" w:styleId="Heading4Char">
    <w:name w:val="Heading 4 Char"/>
    <w:basedOn w:val="DefaultParagraphFont"/>
    <w:link w:val="Heading4"/>
    <w:uiPriority w:val="9"/>
    <w:rsid w:val="00B46EE7"/>
    <w:rPr>
      <w:rFonts w:asciiTheme="majorHAnsi" w:eastAsiaTheme="majorEastAsia" w:hAnsiTheme="majorHAnsi" w:cstheme="majorBidi"/>
      <w:i/>
      <w:iCs/>
      <w:color w:val="2F5496" w:themeColor="accent1" w:themeShade="BF"/>
    </w:rPr>
  </w:style>
  <w:style w:type="table" w:styleId="TableGrid">
    <w:name w:val="Table Grid"/>
    <w:basedOn w:val="TableNormal"/>
    <w:uiPriority w:val="39"/>
    <w:rsid w:val="00B46EE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5">
    <w:name w:val="Plain Table 5"/>
    <w:basedOn w:val="TableNormal"/>
    <w:uiPriority w:val="45"/>
    <w:rsid w:val="002F7403"/>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styleId="Hyperlink">
    <w:name w:val="Hyperlink"/>
    <w:basedOn w:val="DefaultParagraphFont"/>
    <w:uiPriority w:val="99"/>
    <w:unhideWhenUsed/>
    <w:rsid w:val="0091078D"/>
    <w:rPr>
      <w:color w:val="0563C1" w:themeColor="hyperlink"/>
      <w:u w:val="single"/>
    </w:rPr>
  </w:style>
  <w:style w:type="character" w:styleId="UnresolvedMention">
    <w:name w:val="Unresolved Mention"/>
    <w:basedOn w:val="DefaultParagraphFont"/>
    <w:uiPriority w:val="99"/>
    <w:semiHidden/>
    <w:unhideWhenUsed/>
    <w:rsid w:val="0091078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support.google.com/mail/answer/21289"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help.uis.cam.ac.uk/service/email/exol-migration/hermes-eol-migration/hermes-migration-advice" TargetMode="External"/><Relationship Id="rId5" Type="http://schemas.openxmlformats.org/officeDocument/2006/relationships/hyperlink" Target="https://www.lookup.cam.ac.uk/self" TargetMode="External"/><Relationship Id="rId4" Type="http://schemas.openxmlformats.org/officeDocument/2006/relationships/hyperlink" Target="mailto:user@hermes.cam.ac.uk"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225</TotalTime>
  <Pages>2</Pages>
  <Words>767</Words>
  <Characters>4372</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Ian Clark</dc:creator>
  <cp:keywords/>
  <dc:description/>
  <cp:lastModifiedBy>Ian Clark</cp:lastModifiedBy>
  <cp:revision>13</cp:revision>
  <dcterms:created xsi:type="dcterms:W3CDTF">2021-01-12T09:49:00Z</dcterms:created>
  <dcterms:modified xsi:type="dcterms:W3CDTF">2021-01-31T16:17:00Z</dcterms:modified>
</cp:coreProperties>
</file>